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2E" w:rsidRPr="00F8522E" w:rsidRDefault="00F8522E" w:rsidP="00D45723">
      <w:pPr>
        <w:spacing w:line="240" w:lineRule="auto"/>
        <w:jc w:val="right"/>
        <w:rPr>
          <w:rFonts w:ascii="Adobe Caslon Pro" w:hAnsi="Adobe Caslon Pro" w:cs="Arial"/>
          <w:b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b/>
          <w:sz w:val="22"/>
          <w:szCs w:val="20"/>
          <w:lang w:val="es-MX"/>
        </w:rPr>
        <w:t>FORMATO 20</w: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  <w:r>
        <w:rPr>
          <w:rFonts w:ascii="Adobe Caslon Pro" w:hAnsi="Adobe Caslon Pro" w:cs="Arial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4C1EC" wp14:editId="3B7038DA">
                <wp:simplePos x="0" y="0"/>
                <wp:positionH relativeFrom="column">
                  <wp:posOffset>22860</wp:posOffset>
                </wp:positionH>
                <wp:positionV relativeFrom="paragraph">
                  <wp:posOffset>95884</wp:posOffset>
                </wp:positionV>
                <wp:extent cx="2133600" cy="581025"/>
                <wp:effectExtent l="19050" t="19050" r="19050" b="28575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522E" w:rsidRPr="00CD6C0F" w:rsidRDefault="00F8522E" w:rsidP="00F8522E">
                            <w:pPr>
                              <w:pStyle w:val="Textoindependiente3"/>
                              <w:rPr>
                                <w:rFonts w:ascii="Adobe Caslon Pro" w:hAnsi="Adobe Caslon Pro" w:cs="Arial"/>
                              </w:rPr>
                            </w:pPr>
                            <w:r w:rsidRPr="00CD6C0F">
                              <w:rPr>
                                <w:rFonts w:ascii="Adobe Caslon Pro" w:hAnsi="Adobe Caslon Pro" w:cs="Arial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CD6C0F">
                                <w:rPr>
                                  <w:rFonts w:ascii="Adobe Caslon Pro" w:hAnsi="Adobe Caslon Pro" w:cs="Arial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1.8pt;margin-top:7.55pt;width:168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" strokeweight="3pt">
                <v:stroke linestyle="thinThin"/>
                <v:textbox>
                  <w:txbxContent>
                    <w:p w:rsidR="00F8522E" w:rsidRPr="00CD6C0F" w:rsidRDefault="00F8522E" w:rsidP="00F8522E">
                      <w:pPr>
                        <w:pStyle w:val="Textoindependiente3"/>
                        <w:rPr>
                          <w:rFonts w:ascii="Adobe Caslon Pro" w:hAnsi="Adobe Caslon Pro" w:cs="Arial"/>
                        </w:rPr>
                      </w:pPr>
                      <w:r w:rsidRPr="00CD6C0F">
                        <w:rPr>
                          <w:rFonts w:ascii="Adobe Caslon Pro" w:hAnsi="Adobe Caslon Pro" w:cs="Arial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CD6C0F">
                          <w:rPr>
                            <w:rFonts w:ascii="Adobe Caslon Pro" w:hAnsi="Adobe Caslon Pro" w:cs="Arial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F8522E" w:rsidRDefault="00F8522E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D45723">
      <w:pPr>
        <w:spacing w:line="240" w:lineRule="auto"/>
        <w:jc w:val="right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C.P. PABLO SUÁREZ COELLO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Director General de Transporte Ferroviario y Multimodal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Calle de Nueva York, 115, Piso 6, Colonia Nápoles, C.P. 03810, México, D.F.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PRESENTE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01383" w:rsidRPr="004C53E7" w:rsidRDefault="003869C4" w:rsidP="00201383">
      <w:pPr>
        <w:tabs>
          <w:tab w:val="left" w:pos="426"/>
          <w:tab w:val="left" w:pos="993"/>
        </w:tabs>
        <w:rPr>
          <w:rFonts w:ascii="Adobe Caslon Pro" w:hAnsi="Adobe Caslon Pro" w:cs="Arial"/>
          <w:b/>
          <w:sz w:val="22"/>
          <w:szCs w:val="22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Me refiero a la </w:t>
      </w:r>
      <w:r w:rsidR="00201383" w:rsidRPr="004C53E7">
        <w:rPr>
          <w:rFonts w:ascii="Adobe Caslon Pro" w:hAnsi="Adobe Caslon Pro" w:cs="Arial"/>
          <w:b/>
        </w:rPr>
        <w:t>INVITACIÓN A CUANDO MENOS TRES PERSONAS N</w:t>
      </w:r>
      <w:r w:rsidR="002357F2">
        <w:rPr>
          <w:rFonts w:ascii="Adobe Caslon Pro" w:hAnsi="Adobe Caslon Pro" w:cs="Arial"/>
          <w:b/>
        </w:rPr>
        <w:t xml:space="preserve">o. </w:t>
      </w:r>
      <w:r w:rsidR="00503DAA" w:rsidRPr="00503DAA">
        <w:rPr>
          <w:rFonts w:ascii="Adobe Caslon Pro" w:hAnsi="Adobe Caslon Pro" w:cs="Arial"/>
          <w:b/>
        </w:rPr>
        <w:t>IO-009000988-N15-2014</w:t>
      </w:r>
      <w:bookmarkStart w:id="0" w:name="_GoBack"/>
      <w:bookmarkEnd w:id="0"/>
      <w:r w:rsidR="00201383" w:rsidRPr="004C53E7">
        <w:rPr>
          <w:rFonts w:ascii="Adobe Caslon Pro" w:hAnsi="Adobe Caslon Pro" w:cs="Arial"/>
        </w:rPr>
        <w:t xml:space="preserve">, para la contratación de los trabajos consistentes en: </w:t>
      </w:r>
      <w:r w:rsidR="00201383" w:rsidRPr="004C53E7">
        <w:rPr>
          <w:rFonts w:ascii="Adobe Caslon Pro" w:hAnsi="Adobe Caslon Pro" w:cs="Arial"/>
          <w:b/>
        </w:rPr>
        <w:t>“</w:t>
      </w:r>
      <w:r w:rsidR="00CF2CF0" w:rsidRPr="00CF2CF0">
        <w:rPr>
          <w:rFonts w:ascii="Adobe Caslon Pro" w:hAnsi="Adobe Caslon Pro" w:cs="Arial"/>
          <w:b/>
          <w:sz w:val="22"/>
          <w:lang w:val="es-MX"/>
        </w:rPr>
        <w:t>Apoyo técnico para la celebración de un paquete que considera doce procedimientos</w:t>
      </w:r>
      <w:r w:rsidR="002357F2">
        <w:rPr>
          <w:rFonts w:ascii="Adobe Caslon Pro" w:hAnsi="Adobe Caslon Pro" w:cs="Arial"/>
          <w:b/>
          <w:sz w:val="22"/>
          <w:lang w:val="es-MX"/>
        </w:rPr>
        <w:t xml:space="preserve"> de contratación</w:t>
      </w:r>
      <w:r w:rsidR="00CF2CF0" w:rsidRPr="00CF2CF0">
        <w:rPr>
          <w:rFonts w:ascii="Adobe Caslon Pro" w:hAnsi="Adobe Caslon Pro" w:cs="Arial"/>
          <w:b/>
          <w:sz w:val="22"/>
          <w:lang w:val="es-MX"/>
        </w:rPr>
        <w:t xml:space="preserve"> en las etapas de preparación de convocatorias, desarrollo de procedimientos, evaluación de proposiciones y formalización de los contratos respectivos, a realizarse por la dirección general de transporte ferroviario y multimodal en 2014</w:t>
      </w:r>
      <w:r w:rsidR="00201383" w:rsidRPr="004C53E7">
        <w:rPr>
          <w:rFonts w:ascii="Adobe Caslon Pro" w:hAnsi="Adobe Caslon Pro" w:cs="Arial"/>
          <w:b/>
        </w:rPr>
        <w:t>”</w:t>
      </w:r>
      <w:r w:rsidR="00201383" w:rsidRPr="004C53E7">
        <w:rPr>
          <w:rFonts w:ascii="Adobe Caslon Pro" w:hAnsi="Adobe Caslon Pro" w:cs="Arial"/>
          <w:b/>
          <w:sz w:val="22"/>
          <w:szCs w:val="22"/>
        </w:rPr>
        <w:t>.</w:t>
      </w:r>
    </w:p>
    <w:p w:rsidR="003869C4" w:rsidRPr="00201383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</w:rPr>
      </w:pP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Se hace constar que la empresa NOMBRE DE LA EMPRESA LICITANTE manifiesta a usted que nos adherimos al acta para combatir el cohecho de servidores públicos de los países miembros de la organización para la cooperación y el desarrollo económicos, la cual se transcribe a continuación:</w:t>
      </w:r>
    </w:p>
    <w:p w:rsidR="003869C4" w:rsidRPr="00F8522E" w:rsidRDefault="003869C4" w:rsidP="003869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Nota informativa para participantes de países miembros de la Organización para la Cooperación y el Desarrollo Económico (OCDE). 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Asimismo se deberá cumplir con lo dispuesto en la Ley Federal de Anticorrupción en Contrataciones Públicas, publicada en el Diario Oficial de la Fe</w:t>
      </w:r>
      <w:r w:rsidR="000766C4" w:rsidRPr="00F8522E">
        <w:rPr>
          <w:rFonts w:ascii="Adobe Caslon Pro" w:hAnsi="Adobe Caslon Pro" w:cs="Arial"/>
          <w:sz w:val="22"/>
          <w:szCs w:val="20"/>
          <w:lang w:val="es-MX" w:eastAsia="es-ES"/>
        </w:rPr>
        <w:t>deración el 11 de junio de 2012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:</w:t>
      </w:r>
    </w:p>
    <w:p w:rsidR="008B342A" w:rsidRPr="00F8522E" w:rsidRDefault="00FC4093" w:rsidP="00D45723">
      <w:pPr>
        <w:pStyle w:val="Encabezado"/>
        <w:spacing w:after="240" w:line="240" w:lineRule="auto"/>
        <w:jc w:val="center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Anexo al Oficio Circular No.  SACN/300/ 1 48 /2003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>Nota informativa para participantes de países miembros de la Organización para la Cooperación y el Desarrollo Económico, (OCDE).</w:t>
      </w:r>
    </w:p>
    <w:p w:rsidR="008B342A" w:rsidRPr="00F8522E" w:rsidRDefault="00FC4093" w:rsidP="00D45723">
      <w:pPr>
        <w:pStyle w:val="Encabezado"/>
        <w:spacing w:after="240" w:line="240" w:lineRule="auto"/>
        <w:rPr>
          <w:rFonts w:ascii="Adobe Caslon Pro" w:hAnsi="Adobe Caslon Pro" w:cs="Arial"/>
          <w:sz w:val="22"/>
          <w:szCs w:val="20"/>
          <w:lang w:val="es-MX" w:eastAsia="es-ES"/>
        </w:rPr>
      </w:pP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t xml:space="preserve">El compromiso de México en el combate a la corrupción ha trascendido nuestras fronteras y el ámbito de acción del gobierno federal. En el plano internacional y como miembro de la Organización para la Cooperación y el Desarrollo Económico (OCDE) y firmante de la Convención para combatir el cohecho de servidores públicos extranjeros en transacciones comerciales internacionales, hemos adquirido responsabilidades que involucran a los </w:t>
      </w:r>
      <w:r w:rsidRPr="00F8522E">
        <w:rPr>
          <w:rFonts w:ascii="Adobe Caslon Pro" w:hAnsi="Adobe Caslon Pro" w:cs="Arial"/>
          <w:sz w:val="22"/>
          <w:szCs w:val="20"/>
          <w:lang w:val="es-MX" w:eastAsia="es-ES"/>
        </w:rPr>
        <w:lastRenderedPageBreak/>
        <w:t xml:space="preserve">sectores público y privado. </w:t>
      </w: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Esta Convención busca establecer medidas para prevenir y penalizar a las personas y a las empresas que prometan o den gratificaciones a funcionarios públicos extranjeros que participan en transacciones comerciales internacionales. Su objetivo es eliminar la competencia desleal y crear igualdad de oportunidades para las empresas que compilen por las contrataciones gubernamentales.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 OCDE ha establecido mecanismos muy claros para que los países firmantes de la Convención cumplan con las recomendaciones emitidas por ésta y en el caso de México, iniciará en noviembre de 2003 una segunda fase de evaluación -la primera ya fue aprobada-  en donde un grupo de expertos verificará, entre otros: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La compatibilidad de nuestro marco jurídico con las disposiciones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El conocimiento que tengan los sectores público y privado de las recomendaciones de la Convención.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resultado de esta evaluación impactará el grado de inversión otorgado a México por las agencias calificadoras y la atracción de inversión extranjera.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público se centran en: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Profundizar las reformas legales que inició en 1999.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Difundir las recomendaciones de la Convención y las obligaciones de cada uno de los actores comprometidos en su cumplimiento.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Presentar casos de cohecho en proceso y concluidos (incluyendo aquellos relacionados con lavado de dinero y extradición).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responsabilidades del sector privado contemplan: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empresas: adoptar esquemas preventivos como el establecimiento de códigos de conducta, de mejores prácticas corporativas (controles internos, monitoreo, información financiera pública, auditorías externas) y de mecanismos que prevengan el ofrecimiento y otorgamiento de recursos o bienes a servidores públicos, para obtener beneficios particulares o para la empresa.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contadores públicos: realizar auditorías; no encubrir actividades ilícitas (doble contabilidad y transacciones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indebidas, como asientos contables falsificados, informes financieros fraudulentos, transferencias sin autorización, acceso a los activos sin consentimiento de la gerencia); utilizar registros contables precisos; informar a los directivos SEPARADOR conductas ilegales.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Los abogados: promover el cumplimiento y revisión de la Convención (imprimir el carácter vinculatorio entre ésta y la legislación nacional): impulsar los esquemas preventivos que deben adoptar las empresas.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Las sanciones impuestas a las personas físicas o morales (privados) y a los servidores públicos que incumplan las recomendaciones de la Convención, implican entre otras, privación de la libertad, extradición, decomiso y/o embargo de dinero o bienes.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Asimismo, es importante conocer que el pago realizado a servidores públicos extranjeros es perseguido y castigado independientemente de que el funcionario sea acusado o no. Las investigaciones pueden iniciarse por denuncia, pero también por otros medios, como la revisión de la situación patrimonial de los servidores públicos o la identificación de transacciones ilícitas, en el caso de las empresas.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El culpable puede ser perseguido en cualquier país firmante de la Convención, independientemente del lugar donde el acto de cohecho haya sido cometido.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la medida que estos lineamientos sean conocidos por las empresas y los servidores públicos del país, estaremos contribuyendo a construir estructuras preventivas que impidan el incumplimiento de las recomendaciones de la Convención y por tanto la comisión de actos de corrupción.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Por otra parte, es de señalar que el Código Penal Federal sanciona el cohecho en los siguientes términos: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“Artículo 222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Cometen el delito de cohecho:</w:t>
      </w:r>
    </w:p>
    <w:p w:rsidR="00280E3A" w:rsidRPr="00F8522E" w:rsidRDefault="00280E3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after="240"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servidor público que por sí, o por interpósita persona solicite o reciba indebidamente para sí o para otro, dinero o cualquiera otra dádiva, o acepte una promesa, para hacer o dejar de hacer algo justo o injusto relacionado con sus funciones, y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El que de manera espontánea dé u ofrezca dinero o cualquier otra dádiva a alguna de las personas que se mencionan en la fracción anterior, para que cualquier servidor público haga u omita un acto justo o injusto relacionado con sus funciones.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Al que comete el delito de cohecho se le impondrán las siguientes sanciones: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 o promesa no exceda del equivalente de quinientas veces el salario mínimo diario vigente en el Distrito Federal en el momento de cometerse el delito, o no sea </w:t>
      </w:r>
      <w:proofErr w:type="spellStart"/>
      <w:r w:rsidRPr="00F8522E">
        <w:rPr>
          <w:rFonts w:ascii="Adobe Caslon Pro" w:hAnsi="Adobe Caslon Pro" w:cs="Arial"/>
          <w:sz w:val="22"/>
          <w:szCs w:val="20"/>
          <w:lang w:val="es-MX"/>
        </w:rPr>
        <w:t>valuable</w:t>
      </w:r>
      <w:proofErr w:type="spellEnd"/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, se impondrán de tres meses a dos años de prisión, multa de treinta a trescientas veces el salario mínimo diario vigente en el Distrito Federal en el momento de cometerse el delito y destitución e inhabilitación de tres meses a dos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Cuando la cantidad o el valor de la dádiva, promesa o prestación exceda de quinientas veces el salario mínimo diario vigente en el Distrito Federal en el momento de cometerse el delito, se impondrán de dos años a catorce años de prisión, multa de trescientas a quinientas veces el salario mínimo diario vigente en el Distrito Federal en el momento de cometerse el delito y destitución e inhabilitación de dos años a catorce años para desempeñar otro empleo, cargo o comisión públicos.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En ningún caso se devolverá a los responsables del delito de cohecho, el dinero o dádivas entregadas, las mismas se aplicarán en beneficio del Estado. </w:t>
      </w: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Capítulo XI.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Cohecho a servidores públicos extranjeros</w:t>
      </w:r>
    </w:p>
    <w:p w:rsidR="008B342A" w:rsidRPr="00F8522E" w:rsidRDefault="008B342A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Artículo 222 bis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 xml:space="preserve">Se impondrán las penas previstas en el artículo anterior al que con el propósito de obtener o retener para sí o para otra persona ventajas indebidas en el desarrollo o conducción de transacciones comerciales internacionales, ofrezca, prometa o dé, por sí o por interpósita persona, dinero o cualquiera otra dádiva, ya sea en bienes o servicios: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l.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determine, para que dicho servidor público gestione o se abstenga de gestionar la tramitación o resolución de asuntos relacionados con las funciones inherentes a su empleo, cargo o comisión;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un servidor público extranjero o a un tercero que éste determine para llevar a cabo la tramitación o resolución de cualquier asunto que se encuentre fuera del ámbito de las funciones inherentes a su empleo, cargo o comisión, o </w:t>
      </w: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III.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tab/>
        <w:t xml:space="preserve">A cualquier persona para que acuda ante un servidor público extranjero y le requiera o le proponga llevar </w:t>
      </w:r>
      <w:r w:rsidRPr="00F8522E">
        <w:rPr>
          <w:rFonts w:ascii="Adobe Caslon Pro" w:hAnsi="Adobe Caslon Pro" w:cs="Arial"/>
          <w:sz w:val="22"/>
          <w:szCs w:val="20"/>
          <w:lang w:val="es-MX"/>
        </w:rPr>
        <w:lastRenderedPageBreak/>
        <w:t xml:space="preserve">a cabo la tramitación o resolución de cualquier asunto relacionado con las funciones inherentes al empleo, cargo o comisión de este último. </w:t>
      </w:r>
    </w:p>
    <w:p w:rsidR="008B342A" w:rsidRPr="00F8522E" w:rsidRDefault="008B342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8B342A" w:rsidRPr="00F8522E" w:rsidRDefault="00FC4093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Para los efectos de este artículo se entiende por servidor público extranjero, toda persona que desempeñe un empleo, cargo o comisión en el poder legislativo, ejecutivo o judicial o en un órgano público autónomo en cualquier orden o nivel de gobierno de un Estado extranjero, sea designado o electo; cualquier persona en ejercicio de una función para una autoridad, organismo o empresa pública o de participación estatal de un país extranjero; y cualquier funcionario o agente de un organismo u organización pública internacional.</w:t>
      </w:r>
    </w:p>
    <w:p w:rsidR="00280E3A" w:rsidRPr="00F8522E" w:rsidRDefault="00280E3A" w:rsidP="00D45723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7D19BA" w:rsidRPr="00F8522E" w:rsidRDefault="00FC4093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Cuando alguno de los delitos comprendidos en este artículo se cometa en los supuestos a que se refiere el artículo 11 de este Código, el juez impondrá a la persona moral hasta mil  días multa y podrá decretar su suspensión o disolución, tomando en consideración el grado de conocimiento de los órganos de administración respecto del cohecho en la transacción internacional y el daño causado o el beneficio obtenido por la persona moral.</w:t>
      </w:r>
    </w:p>
    <w:p w:rsidR="00280E3A" w:rsidRPr="00F8522E" w:rsidRDefault="00280E3A" w:rsidP="000766C4">
      <w:pPr>
        <w:spacing w:line="240" w:lineRule="auto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ATENTAMENTE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______________________________________________________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REPRESENTANTE LEGAL</w:t>
      </w:r>
    </w:p>
    <w:p w:rsidR="00280E3A" w:rsidRPr="00F8522E" w:rsidRDefault="00280E3A" w:rsidP="00280E3A">
      <w:pPr>
        <w:spacing w:line="240" w:lineRule="auto"/>
        <w:jc w:val="center"/>
        <w:rPr>
          <w:rFonts w:ascii="Adobe Caslon Pro" w:hAnsi="Adobe Caslon Pro" w:cs="Arial"/>
          <w:sz w:val="22"/>
          <w:szCs w:val="20"/>
          <w:lang w:val="es-MX"/>
        </w:rPr>
      </w:pPr>
      <w:r w:rsidRPr="00F8522E">
        <w:rPr>
          <w:rFonts w:ascii="Adobe Caslon Pro" w:hAnsi="Adobe Caslon Pro" w:cs="Arial"/>
          <w:sz w:val="22"/>
          <w:szCs w:val="20"/>
          <w:lang w:val="es-MX"/>
        </w:rPr>
        <w:t>CARGO REPRESENTANTE LEGAL</w:t>
      </w:r>
    </w:p>
    <w:sectPr w:rsidR="00280E3A" w:rsidRPr="00F8522E" w:rsidSect="003D770E"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6C" w:rsidRDefault="00D3546C">
      <w:r>
        <w:separator/>
      </w:r>
    </w:p>
  </w:endnote>
  <w:endnote w:type="continuationSeparator" w:id="0">
    <w:p w:rsidR="00D3546C" w:rsidRDefault="00D3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503DAA">
              <w:rPr>
                <w:b/>
                <w:bCs/>
                <w:noProof/>
              </w:rPr>
              <w:t>5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503DAA">
              <w:rPr>
                <w:b/>
                <w:bCs/>
                <w:noProof/>
              </w:rPr>
              <w:t>5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6C" w:rsidRDefault="00D3546C">
      <w:r>
        <w:separator/>
      </w:r>
    </w:p>
  </w:footnote>
  <w:footnote w:type="continuationSeparator" w:id="0">
    <w:p w:rsidR="00D3546C" w:rsidRDefault="00D35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383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27619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7F2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0E3A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9C4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6878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3DAA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3C04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0ED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8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C6002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2CF0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46C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77C78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22E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1C8E9-03F9-4A34-8B4E-2C22EC5B9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3</TotalTime>
  <Pages>5</Pages>
  <Words>1467</Words>
  <Characters>8074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9522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5</cp:revision>
  <cp:lastPrinted>2013-09-23T21:55:00Z</cp:lastPrinted>
  <dcterms:created xsi:type="dcterms:W3CDTF">2013-10-11T00:10:00Z</dcterms:created>
  <dcterms:modified xsi:type="dcterms:W3CDTF">2014-03-12T19:02:00Z</dcterms:modified>
</cp:coreProperties>
</file>